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57EC" w:rsidRDefault="00CB57EC"/>
    <w:p w:rsidR="00FC3287" w:rsidRPr="00671315" w:rsidRDefault="00FC3287" w:rsidP="00FC3287">
      <w:pPr>
        <w:jc w:val="right"/>
        <w:rPr>
          <w:rFonts w:ascii="Times New Roman" w:eastAsia="Calibri" w:hAnsi="Times New Roman" w:cs="Times New Roman"/>
          <w:b/>
          <w:sz w:val="24"/>
          <w:szCs w:val="24"/>
        </w:rPr>
      </w:pPr>
      <w:r>
        <w:rPr>
          <w:rFonts w:ascii="Times New Roman" w:eastAsia="Calibri" w:hAnsi="Times New Roman" w:cs="Times New Roman"/>
          <w:b/>
          <w:sz w:val="24"/>
          <w:szCs w:val="24"/>
        </w:rPr>
        <w:t>…………………………</w:t>
      </w:r>
      <w:r w:rsidRPr="00671315">
        <w:rPr>
          <w:rFonts w:ascii="Times New Roman" w:eastAsia="Calibri" w:hAnsi="Times New Roman" w:cs="Times New Roman"/>
          <w:b/>
          <w:sz w:val="24"/>
          <w:szCs w:val="24"/>
        </w:rPr>
        <w:t>,</w:t>
      </w:r>
      <w:r>
        <w:rPr>
          <w:rFonts w:ascii="Times New Roman" w:eastAsia="Calibri" w:hAnsi="Times New Roman" w:cs="Times New Roman"/>
          <w:b/>
          <w:sz w:val="24"/>
          <w:szCs w:val="24"/>
        </w:rPr>
        <w:t xml:space="preserve"> </w:t>
      </w:r>
      <w:r w:rsidRPr="00671315">
        <w:rPr>
          <w:rFonts w:ascii="Times New Roman" w:eastAsia="Calibri" w:hAnsi="Times New Roman" w:cs="Times New Roman"/>
          <w:b/>
          <w:sz w:val="24"/>
          <w:szCs w:val="24"/>
        </w:rPr>
        <w:t>dnia………………………</w:t>
      </w:r>
    </w:p>
    <w:p w:rsidR="00FC3287" w:rsidRPr="00671315" w:rsidRDefault="00FC3287" w:rsidP="00FC3287">
      <w:pPr>
        <w:jc w:val="center"/>
        <w:rPr>
          <w:rFonts w:ascii="Times New Roman" w:eastAsia="Calibri" w:hAnsi="Times New Roman" w:cs="Times New Roman"/>
          <w:sz w:val="24"/>
          <w:szCs w:val="24"/>
        </w:rPr>
      </w:pPr>
      <w:r w:rsidRPr="00671315">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     </w:t>
      </w:r>
      <w:r w:rsidRPr="00671315">
        <w:rPr>
          <w:rFonts w:ascii="Times New Roman" w:eastAsia="Calibri" w:hAnsi="Times New Roman" w:cs="Times New Roman"/>
          <w:b/>
          <w:bCs/>
          <w:sz w:val="24"/>
          <w:szCs w:val="24"/>
        </w:rPr>
        <w:t>( Miejscowość ,data)</w:t>
      </w:r>
    </w:p>
    <w:p w:rsidR="00FC3287" w:rsidRDefault="00FC3287" w:rsidP="00FC3287">
      <w:pPr>
        <w:rPr>
          <w:rFonts w:ascii="Times New Roman" w:eastAsia="Calibri" w:hAnsi="Times New Roman" w:cs="Times New Roman"/>
          <w:b/>
          <w:bCs/>
          <w:sz w:val="24"/>
          <w:szCs w:val="24"/>
        </w:rPr>
      </w:pPr>
    </w:p>
    <w:p w:rsidR="00FC3287" w:rsidRDefault="00FC3287" w:rsidP="00FC3287">
      <w:pPr>
        <w:rPr>
          <w:rFonts w:ascii="Times New Roman" w:eastAsia="Calibri" w:hAnsi="Times New Roman" w:cs="Times New Roman"/>
          <w:b/>
          <w:bCs/>
          <w:sz w:val="24"/>
          <w:szCs w:val="24"/>
        </w:rPr>
      </w:pPr>
      <w:r>
        <w:rPr>
          <w:rFonts w:ascii="Times New Roman" w:eastAsia="Calibri" w:hAnsi="Times New Roman" w:cs="Times New Roman"/>
          <w:b/>
          <w:bCs/>
          <w:sz w:val="24"/>
          <w:szCs w:val="24"/>
        </w:rPr>
        <w:t>……………………………………</w:t>
      </w:r>
    </w:p>
    <w:p w:rsidR="00FC3287" w:rsidRDefault="00FC3287" w:rsidP="00FC3287">
      <w:pPr>
        <w:rPr>
          <w:rFonts w:ascii="Times New Roman" w:eastAsia="Calibri" w:hAnsi="Times New Roman" w:cs="Times New Roman"/>
          <w:b/>
          <w:bCs/>
          <w:sz w:val="24"/>
          <w:szCs w:val="24"/>
        </w:rPr>
      </w:pPr>
      <w:r>
        <w:rPr>
          <w:rFonts w:ascii="Times New Roman" w:eastAsia="Calibri" w:hAnsi="Times New Roman" w:cs="Times New Roman"/>
          <w:b/>
          <w:bCs/>
          <w:sz w:val="24"/>
          <w:szCs w:val="24"/>
        </w:rPr>
        <w:t>……………………………………</w:t>
      </w:r>
    </w:p>
    <w:p w:rsidR="00FC3287" w:rsidRDefault="00FC3287" w:rsidP="00FC3287">
      <w:pPr>
        <w:rPr>
          <w:rFonts w:ascii="Times New Roman" w:eastAsia="Calibri" w:hAnsi="Times New Roman" w:cs="Times New Roman"/>
          <w:b/>
          <w:bCs/>
          <w:sz w:val="24"/>
          <w:szCs w:val="24"/>
        </w:rPr>
      </w:pPr>
      <w:r>
        <w:rPr>
          <w:rFonts w:ascii="Times New Roman" w:eastAsia="Calibri" w:hAnsi="Times New Roman" w:cs="Times New Roman"/>
          <w:b/>
          <w:bCs/>
          <w:sz w:val="24"/>
          <w:szCs w:val="24"/>
        </w:rPr>
        <w:t>……………………………………</w:t>
      </w:r>
    </w:p>
    <w:p w:rsidR="00FC3287" w:rsidRDefault="00FC3287" w:rsidP="00FC3287">
      <w:pPr>
        <w:rPr>
          <w:rFonts w:ascii="Times New Roman" w:eastAsia="Calibri" w:hAnsi="Times New Roman" w:cs="Times New Roman"/>
          <w:b/>
          <w:bCs/>
          <w:sz w:val="24"/>
          <w:szCs w:val="24"/>
        </w:rPr>
      </w:pPr>
      <w:r>
        <w:rPr>
          <w:rFonts w:ascii="Times New Roman" w:eastAsia="Calibri" w:hAnsi="Times New Roman" w:cs="Times New Roman"/>
          <w:b/>
          <w:bCs/>
          <w:sz w:val="24"/>
          <w:szCs w:val="24"/>
        </w:rPr>
        <w:t>……………………………………</w:t>
      </w:r>
    </w:p>
    <w:p w:rsidR="00FC3287" w:rsidRPr="00671315" w:rsidRDefault="00FC3287" w:rsidP="00FC3287">
      <w:pPr>
        <w:rPr>
          <w:rFonts w:ascii="Times New Roman" w:eastAsia="Calibri" w:hAnsi="Times New Roman" w:cs="Times New Roman"/>
          <w:b/>
          <w:sz w:val="24"/>
          <w:szCs w:val="24"/>
        </w:rPr>
      </w:pPr>
      <w:r>
        <w:rPr>
          <w:rFonts w:ascii="Times New Roman" w:eastAsia="Calibri" w:hAnsi="Times New Roman" w:cs="Times New Roman"/>
          <w:b/>
          <w:bCs/>
          <w:sz w:val="24"/>
          <w:szCs w:val="24"/>
        </w:rPr>
        <w:t xml:space="preserve">              (dane osobowe)</w:t>
      </w:r>
    </w:p>
    <w:p w:rsidR="00FC3287" w:rsidRDefault="00FC3287" w:rsidP="00FC3287">
      <w:pPr>
        <w:jc w:val="right"/>
        <w:rPr>
          <w:rFonts w:ascii="Times New Roman" w:eastAsia="Calibri" w:hAnsi="Times New Roman" w:cs="Times New Roman"/>
          <w:b/>
          <w:sz w:val="24"/>
          <w:szCs w:val="24"/>
        </w:rPr>
      </w:pPr>
      <w:r>
        <w:rPr>
          <w:rFonts w:ascii="Times New Roman" w:eastAsia="Calibri" w:hAnsi="Times New Roman" w:cs="Times New Roman"/>
          <w:b/>
          <w:sz w:val="24"/>
          <w:szCs w:val="24"/>
        </w:rPr>
        <w:t>…………………………………….</w:t>
      </w:r>
    </w:p>
    <w:p w:rsidR="00FC3287" w:rsidRDefault="00FC3287" w:rsidP="00FC3287">
      <w:pPr>
        <w:jc w:val="right"/>
        <w:rPr>
          <w:rFonts w:ascii="Times New Roman" w:eastAsia="Calibri" w:hAnsi="Times New Roman" w:cs="Times New Roman"/>
          <w:b/>
          <w:sz w:val="24"/>
          <w:szCs w:val="24"/>
        </w:rPr>
      </w:pPr>
      <w:r>
        <w:rPr>
          <w:rFonts w:ascii="Times New Roman" w:eastAsia="Calibri" w:hAnsi="Times New Roman" w:cs="Times New Roman"/>
          <w:b/>
          <w:sz w:val="24"/>
          <w:szCs w:val="24"/>
        </w:rPr>
        <w:t>…………………………………….</w:t>
      </w:r>
    </w:p>
    <w:p w:rsidR="00FC3287" w:rsidRDefault="00FC3287" w:rsidP="00FC3287">
      <w:pPr>
        <w:jc w:val="right"/>
        <w:rPr>
          <w:rFonts w:ascii="Times New Roman" w:eastAsia="Calibri" w:hAnsi="Times New Roman" w:cs="Times New Roman"/>
          <w:b/>
          <w:sz w:val="24"/>
          <w:szCs w:val="24"/>
        </w:rPr>
      </w:pPr>
      <w:r>
        <w:rPr>
          <w:rFonts w:ascii="Times New Roman" w:eastAsia="Calibri" w:hAnsi="Times New Roman" w:cs="Times New Roman"/>
          <w:b/>
          <w:sz w:val="24"/>
          <w:szCs w:val="24"/>
        </w:rPr>
        <w:t>…………………………………….</w:t>
      </w:r>
    </w:p>
    <w:p w:rsidR="00AF059B" w:rsidRDefault="00AF059B" w:rsidP="00AF059B">
      <w:pPr>
        <w:jc w:val="right"/>
        <w:rPr>
          <w:rFonts w:ascii="Times New Roman" w:eastAsia="Calibri" w:hAnsi="Times New Roman" w:cs="Times New Roman"/>
          <w:b/>
          <w:sz w:val="24"/>
          <w:szCs w:val="24"/>
        </w:rPr>
      </w:pPr>
      <w:r>
        <w:rPr>
          <w:rFonts w:ascii="Times New Roman" w:eastAsia="Calibri" w:hAnsi="Times New Roman" w:cs="Times New Roman"/>
          <w:b/>
          <w:sz w:val="24"/>
          <w:szCs w:val="24"/>
        </w:rPr>
        <w:t>……………………………………</w:t>
      </w:r>
      <w:bookmarkStart w:id="0" w:name="_GoBack"/>
      <w:bookmarkEnd w:id="0"/>
    </w:p>
    <w:p w:rsidR="00FC3287" w:rsidRPr="00671315" w:rsidRDefault="00FC3287" w:rsidP="00FC3287">
      <w:pPr>
        <w:jc w:val="center"/>
        <w:rPr>
          <w:rFonts w:ascii="Times New Roman" w:eastAsia="Calibri" w:hAnsi="Times New Roman" w:cs="Times New Roman"/>
          <w:b/>
          <w:sz w:val="24"/>
          <w:szCs w:val="24"/>
        </w:rPr>
      </w:pPr>
      <w:r>
        <w:rPr>
          <w:rFonts w:ascii="Times New Roman" w:eastAsia="Calibri" w:hAnsi="Times New Roman" w:cs="Times New Roman"/>
          <w:b/>
          <w:sz w:val="24"/>
          <w:szCs w:val="24"/>
        </w:rPr>
        <w:t xml:space="preserve">                                                           </w:t>
      </w:r>
      <w:r w:rsidR="00AF059B">
        <w:rPr>
          <w:rFonts w:ascii="Times New Roman" w:eastAsia="Calibri" w:hAnsi="Times New Roman" w:cs="Times New Roman"/>
          <w:b/>
          <w:sz w:val="24"/>
          <w:szCs w:val="24"/>
        </w:rPr>
        <w:t xml:space="preserve">                         </w:t>
      </w:r>
      <w:r>
        <w:rPr>
          <w:rFonts w:ascii="Times New Roman" w:eastAsia="Calibri" w:hAnsi="Times New Roman" w:cs="Times New Roman"/>
          <w:b/>
          <w:sz w:val="24"/>
          <w:szCs w:val="24"/>
        </w:rPr>
        <w:t>(dane placówki/szpitala</w:t>
      </w:r>
      <w:r w:rsidR="00AF059B">
        <w:rPr>
          <w:rFonts w:ascii="Times New Roman" w:eastAsia="Calibri" w:hAnsi="Times New Roman" w:cs="Times New Roman"/>
          <w:b/>
          <w:sz w:val="24"/>
          <w:szCs w:val="24"/>
        </w:rPr>
        <w:t>/zakładu pracy</w:t>
      </w:r>
      <w:r>
        <w:rPr>
          <w:rFonts w:ascii="Times New Roman" w:eastAsia="Calibri" w:hAnsi="Times New Roman" w:cs="Times New Roman"/>
          <w:b/>
          <w:sz w:val="24"/>
          <w:szCs w:val="24"/>
        </w:rPr>
        <w:t>)</w:t>
      </w:r>
    </w:p>
    <w:p w:rsidR="00AF059B" w:rsidRDefault="00AF059B" w:rsidP="00FC3287">
      <w:pPr>
        <w:jc w:val="center"/>
        <w:rPr>
          <w:rFonts w:ascii="Georgia" w:eastAsia="Calibri" w:hAnsi="Georgia" w:cs="Times New Roman"/>
          <w:b/>
          <w:sz w:val="24"/>
          <w:szCs w:val="24"/>
          <w:u w:val="single"/>
        </w:rPr>
      </w:pPr>
    </w:p>
    <w:p w:rsidR="00AF059B" w:rsidRDefault="00AF059B" w:rsidP="00FC3287">
      <w:pPr>
        <w:jc w:val="center"/>
        <w:rPr>
          <w:rFonts w:ascii="Georgia" w:eastAsia="Calibri" w:hAnsi="Georgia" w:cs="Times New Roman"/>
          <w:b/>
          <w:sz w:val="24"/>
          <w:szCs w:val="24"/>
          <w:u w:val="single"/>
        </w:rPr>
      </w:pPr>
    </w:p>
    <w:p w:rsidR="00FC3287" w:rsidRPr="00671315" w:rsidRDefault="00FC3287" w:rsidP="00FC3287">
      <w:pPr>
        <w:jc w:val="center"/>
        <w:rPr>
          <w:rFonts w:ascii="Georgia" w:eastAsia="Calibri" w:hAnsi="Georgia" w:cs="Times New Roman"/>
          <w:b/>
          <w:sz w:val="24"/>
          <w:szCs w:val="24"/>
          <w:u w:val="single"/>
        </w:rPr>
      </w:pPr>
      <w:r w:rsidRPr="00671315">
        <w:rPr>
          <w:rFonts w:ascii="Georgia" w:eastAsia="Calibri" w:hAnsi="Georgia" w:cs="Times New Roman"/>
          <w:b/>
          <w:sz w:val="24"/>
          <w:szCs w:val="24"/>
          <w:u w:val="single"/>
        </w:rPr>
        <w:t>OŚWIADCZENIE</w:t>
      </w:r>
    </w:p>
    <w:p w:rsidR="00FC3287" w:rsidRPr="00671315" w:rsidRDefault="00FC3287" w:rsidP="00FC3287">
      <w:pPr>
        <w:rPr>
          <w:rFonts w:ascii="Georgia" w:eastAsia="Calibri" w:hAnsi="Georgia" w:cs="Times New Roman"/>
          <w:sz w:val="24"/>
          <w:szCs w:val="24"/>
        </w:rPr>
      </w:pPr>
    </w:p>
    <w:p w:rsidR="00FC3287" w:rsidRPr="00671315" w:rsidRDefault="00FC3287" w:rsidP="00FC3287">
      <w:pPr>
        <w:rPr>
          <w:rFonts w:ascii="Georgia" w:eastAsia="Calibri" w:hAnsi="Georgia" w:cs="Georgia"/>
          <w:sz w:val="24"/>
          <w:szCs w:val="24"/>
        </w:rPr>
      </w:pPr>
      <w:r>
        <w:rPr>
          <w:rFonts w:ascii="Georgia" w:eastAsia="Calibri" w:hAnsi="Georgia" w:cs="Georgia"/>
          <w:sz w:val="24"/>
          <w:szCs w:val="24"/>
        </w:rPr>
        <w:t>Ja, niżej podpisana/y,……………………………………………………………..</w:t>
      </w:r>
      <w:r w:rsidRPr="00671315">
        <w:rPr>
          <w:rFonts w:ascii="Georgia" w:eastAsia="Calibri" w:hAnsi="Georgia" w:cs="Georgia"/>
          <w:sz w:val="24"/>
          <w:szCs w:val="24"/>
        </w:rPr>
        <w:t xml:space="preserve">, odmawiam wykonania testu </w:t>
      </w:r>
      <w:r>
        <w:rPr>
          <w:rFonts w:ascii="Georgia" w:eastAsia="Calibri" w:hAnsi="Georgia" w:cs="Georgia"/>
          <w:sz w:val="24"/>
          <w:szCs w:val="24"/>
        </w:rPr>
        <w:t xml:space="preserve">techniką molekularną </w:t>
      </w:r>
      <w:r w:rsidRPr="00671315">
        <w:rPr>
          <w:rFonts w:ascii="Georgia" w:eastAsia="Calibri" w:hAnsi="Georgia" w:cs="Georgia"/>
          <w:sz w:val="24"/>
          <w:szCs w:val="24"/>
        </w:rPr>
        <w:t xml:space="preserve">PCR </w:t>
      </w:r>
      <w:r>
        <w:rPr>
          <w:rFonts w:ascii="Georgia" w:eastAsia="Calibri" w:hAnsi="Georgia" w:cs="Georgia"/>
          <w:sz w:val="24"/>
          <w:szCs w:val="24"/>
        </w:rPr>
        <w:t>na swo</w:t>
      </w:r>
      <w:r w:rsidR="00AF059B">
        <w:rPr>
          <w:rFonts w:ascii="Georgia" w:eastAsia="Calibri" w:hAnsi="Georgia" w:cs="Georgia"/>
          <w:sz w:val="24"/>
          <w:szCs w:val="24"/>
        </w:rPr>
        <w:t>jej osobie ,w wyżej wymienionej placówce.</w:t>
      </w:r>
    </w:p>
    <w:p w:rsidR="00FC3287" w:rsidRPr="00671315" w:rsidRDefault="00FC3287" w:rsidP="00FC3287">
      <w:pPr>
        <w:rPr>
          <w:rFonts w:ascii="Georgia" w:eastAsia="Calibri" w:hAnsi="Georgia" w:cs="Georgia"/>
          <w:sz w:val="24"/>
          <w:szCs w:val="24"/>
        </w:rPr>
      </w:pPr>
    </w:p>
    <w:p w:rsidR="00FC3287" w:rsidRDefault="00FC3287" w:rsidP="00FC3287">
      <w:pPr>
        <w:jc w:val="center"/>
        <w:rPr>
          <w:rFonts w:ascii="Georgia" w:eastAsia="Calibri" w:hAnsi="Georgia" w:cs="Georgia"/>
          <w:sz w:val="24"/>
          <w:szCs w:val="24"/>
          <w:u w:val="single"/>
        </w:rPr>
      </w:pPr>
    </w:p>
    <w:p w:rsidR="00FC3287" w:rsidRDefault="00FC3287" w:rsidP="00FC3287">
      <w:pPr>
        <w:jc w:val="center"/>
        <w:rPr>
          <w:rFonts w:ascii="Georgia" w:eastAsia="Calibri" w:hAnsi="Georgia" w:cs="Georgia"/>
          <w:sz w:val="24"/>
          <w:szCs w:val="24"/>
          <w:u w:val="single"/>
        </w:rPr>
      </w:pPr>
      <w:r w:rsidRPr="00671315">
        <w:rPr>
          <w:rFonts w:ascii="Georgia" w:eastAsia="Calibri" w:hAnsi="Georgia" w:cs="Georgia"/>
          <w:sz w:val="24"/>
          <w:szCs w:val="24"/>
          <w:u w:val="single"/>
        </w:rPr>
        <w:t>UZASADNIENIE</w:t>
      </w:r>
    </w:p>
    <w:p w:rsidR="00FC3287" w:rsidRPr="00671315" w:rsidRDefault="00FC3287" w:rsidP="00FC3287">
      <w:pPr>
        <w:jc w:val="center"/>
        <w:rPr>
          <w:rFonts w:ascii="Georgia" w:eastAsia="Calibri" w:hAnsi="Georgia" w:cs="Georgia"/>
          <w:sz w:val="24"/>
          <w:szCs w:val="24"/>
          <w:u w:val="single"/>
        </w:rPr>
      </w:pPr>
    </w:p>
    <w:p w:rsidR="00FC3287" w:rsidRPr="00671315" w:rsidRDefault="00FC3287" w:rsidP="00FC3287">
      <w:pPr>
        <w:jc w:val="center"/>
        <w:rPr>
          <w:rFonts w:ascii="Georgia" w:eastAsia="Calibri" w:hAnsi="Georgia" w:cs="Georgia"/>
          <w:sz w:val="24"/>
          <w:szCs w:val="24"/>
        </w:rPr>
      </w:pPr>
      <w:r w:rsidRPr="00671315">
        <w:rPr>
          <w:rFonts w:ascii="Georgia" w:eastAsia="Calibri" w:hAnsi="Georgia" w:cs="Georgia"/>
          <w:sz w:val="24"/>
          <w:szCs w:val="24"/>
        </w:rPr>
        <w:t>Odnośnie badań sanitarno-epidemiologicznych,</w:t>
      </w:r>
      <w:r>
        <w:rPr>
          <w:rFonts w:ascii="Georgia" w:eastAsia="Calibri" w:hAnsi="Georgia" w:cs="Georgia"/>
          <w:sz w:val="24"/>
          <w:szCs w:val="24"/>
        </w:rPr>
        <w:t xml:space="preserve"> </w:t>
      </w:r>
      <w:r w:rsidRPr="00671315">
        <w:rPr>
          <w:rFonts w:ascii="Georgia" w:eastAsia="Calibri" w:hAnsi="Georgia" w:cs="Georgia"/>
          <w:sz w:val="24"/>
          <w:szCs w:val="24"/>
        </w:rPr>
        <w:t xml:space="preserve">będących postępowaniem mającym na celu pobraniu materiału do badania technikami molekularnymi </w:t>
      </w:r>
      <w:r w:rsidRPr="00671315">
        <w:rPr>
          <w:rFonts w:ascii="Georgia" w:eastAsia="Calibri" w:hAnsi="Georgia" w:cs="Georgia"/>
          <w:b/>
          <w:bCs/>
          <w:sz w:val="24"/>
          <w:szCs w:val="24"/>
        </w:rPr>
        <w:t xml:space="preserve">PCR </w:t>
      </w:r>
      <w:r w:rsidRPr="00671315">
        <w:rPr>
          <w:rFonts w:ascii="Georgia" w:eastAsia="Calibri" w:hAnsi="Georgia" w:cs="Georgia"/>
          <w:sz w:val="24"/>
          <w:szCs w:val="24"/>
        </w:rPr>
        <w:t xml:space="preserve">i </w:t>
      </w:r>
      <w:r w:rsidRPr="00671315">
        <w:rPr>
          <w:rFonts w:ascii="Georgia" w:eastAsia="Calibri" w:hAnsi="Georgia" w:cs="Georgia"/>
          <w:b/>
          <w:bCs/>
          <w:sz w:val="24"/>
          <w:szCs w:val="24"/>
        </w:rPr>
        <w:t xml:space="preserve">Real-Time RT-PCR </w:t>
      </w:r>
      <w:r w:rsidRPr="00671315">
        <w:rPr>
          <w:rFonts w:ascii="Georgia" w:eastAsia="Calibri" w:hAnsi="Georgia" w:cs="Georgia"/>
          <w:sz w:val="24"/>
          <w:szCs w:val="24"/>
        </w:rPr>
        <w:t>w kierunku zakażeń układu oddechowego wirusami SARS, MERS, SARS-CoV-2 lub innym postępowaniom mającym na celu pobieranie materiału do badań sanitarno-epidemiologicznych związanych z wyżej wymienionymi wirusami,</w:t>
      </w:r>
      <w:r>
        <w:rPr>
          <w:rFonts w:ascii="Georgia" w:eastAsia="Calibri" w:hAnsi="Georgia" w:cs="Georgia"/>
          <w:sz w:val="24"/>
          <w:szCs w:val="24"/>
        </w:rPr>
        <w:t xml:space="preserve"> </w:t>
      </w:r>
      <w:r w:rsidRPr="00671315">
        <w:rPr>
          <w:rFonts w:ascii="Georgia" w:eastAsia="Calibri" w:hAnsi="Georgia" w:cs="Georgia"/>
          <w:sz w:val="24"/>
          <w:szCs w:val="24"/>
        </w:rPr>
        <w:t>należy zauważyć,</w:t>
      </w:r>
      <w:r>
        <w:rPr>
          <w:rFonts w:ascii="Georgia" w:eastAsia="Calibri" w:hAnsi="Georgia" w:cs="Georgia"/>
          <w:sz w:val="24"/>
          <w:szCs w:val="24"/>
        </w:rPr>
        <w:t xml:space="preserve"> </w:t>
      </w:r>
      <w:r w:rsidRPr="00671315">
        <w:rPr>
          <w:rFonts w:ascii="Georgia" w:eastAsia="Calibri" w:hAnsi="Georgia" w:cs="Georgia"/>
          <w:sz w:val="24"/>
          <w:szCs w:val="24"/>
        </w:rPr>
        <w:t>iż są one zaliczane do badań genetycznych.</w:t>
      </w:r>
    </w:p>
    <w:p w:rsidR="00FC3287" w:rsidRPr="00671315" w:rsidRDefault="00FC3287" w:rsidP="00FC3287">
      <w:pPr>
        <w:jc w:val="center"/>
        <w:rPr>
          <w:rFonts w:ascii="Georgia" w:eastAsia="Calibri" w:hAnsi="Georgia" w:cs="Georgia"/>
          <w:sz w:val="24"/>
          <w:szCs w:val="24"/>
        </w:rPr>
      </w:pPr>
      <w:r w:rsidRPr="00671315">
        <w:rPr>
          <w:rFonts w:ascii="Georgia" w:eastAsia="Calibri" w:hAnsi="Georgia" w:cs="Georgia"/>
          <w:sz w:val="24"/>
          <w:szCs w:val="24"/>
        </w:rPr>
        <w:t xml:space="preserve">W myśl Ustawy z dnia 5 grudnia 1996 r o zawodach lekarza i lekarza dentysty (Dz.U.1997 Nr 28 poz.152 z </w:t>
      </w:r>
      <w:proofErr w:type="spellStart"/>
      <w:r w:rsidRPr="00671315">
        <w:rPr>
          <w:rFonts w:ascii="Georgia" w:eastAsia="Calibri" w:hAnsi="Georgia" w:cs="Georgia"/>
          <w:sz w:val="24"/>
          <w:szCs w:val="24"/>
        </w:rPr>
        <w:t>późn</w:t>
      </w:r>
      <w:proofErr w:type="spellEnd"/>
      <w:r w:rsidRPr="00671315">
        <w:rPr>
          <w:rFonts w:ascii="Georgia" w:eastAsia="Calibri" w:hAnsi="Georgia" w:cs="Georgia"/>
          <w:sz w:val="24"/>
          <w:szCs w:val="24"/>
        </w:rPr>
        <w:t xml:space="preserve">. zm.) badanie genetyczne zalicza się do eksperymentów medycznych. Ww. ustawa wyróżnia dwa rodzaje eksperymentów </w:t>
      </w:r>
      <w:r w:rsidRPr="00671315">
        <w:rPr>
          <w:rFonts w:ascii="Georgia" w:eastAsia="Calibri" w:hAnsi="Georgia" w:cs="Georgia"/>
          <w:sz w:val="24"/>
          <w:szCs w:val="24"/>
        </w:rPr>
        <w:lastRenderedPageBreak/>
        <w:t>medycznych- eksperyment leczniczy oraz eksperyment badawczy .Badania technikami molekularnymi PCR i Real-Time RT-PCR w kierunku zakażeń układu oddechowego wirusami SARS, MERS,SARS- CoV-2 zalicza się do eksperymentu medycznego -badawczego.</w:t>
      </w:r>
    </w:p>
    <w:p w:rsidR="00FC3287" w:rsidRPr="00671315" w:rsidRDefault="00FC3287" w:rsidP="00FC3287">
      <w:pPr>
        <w:jc w:val="center"/>
        <w:rPr>
          <w:rFonts w:ascii="Georgia" w:eastAsia="Calibri" w:hAnsi="Georgia" w:cs="Georgia"/>
          <w:sz w:val="24"/>
          <w:szCs w:val="24"/>
        </w:rPr>
      </w:pPr>
      <w:r w:rsidRPr="00671315">
        <w:rPr>
          <w:rFonts w:ascii="Georgia" w:eastAsia="Calibri" w:hAnsi="Georgia" w:cs="Georgia"/>
          <w:sz w:val="24"/>
          <w:szCs w:val="24"/>
        </w:rPr>
        <w:t>Natomiast art.39 Konstytucji RP stanowi, że</w:t>
      </w:r>
      <w:r>
        <w:rPr>
          <w:rFonts w:ascii="Georgia" w:eastAsia="Calibri" w:hAnsi="Georgia" w:cs="Georgia"/>
          <w:sz w:val="24"/>
          <w:szCs w:val="24"/>
        </w:rPr>
        <w:t xml:space="preserve"> </w:t>
      </w:r>
      <w:r w:rsidRPr="00671315">
        <w:rPr>
          <w:rFonts w:ascii="Georgia" w:eastAsia="Calibri" w:hAnsi="Georgia" w:cs="Georgia"/>
          <w:sz w:val="24"/>
          <w:szCs w:val="24"/>
        </w:rPr>
        <w:t>”Nikt nie może być poddany eksperymentom naukowym, w tym medycznym, bez dobrowolnie wyrażonej zgody.”</w:t>
      </w:r>
    </w:p>
    <w:p w:rsidR="00FC3287" w:rsidRDefault="00FC3287" w:rsidP="00FC3287">
      <w:pPr>
        <w:jc w:val="center"/>
        <w:rPr>
          <w:rFonts w:ascii="Georgia" w:eastAsia="Calibri" w:hAnsi="Georgia" w:cs="Georgia"/>
          <w:sz w:val="24"/>
          <w:szCs w:val="24"/>
        </w:rPr>
      </w:pPr>
      <w:r w:rsidRPr="00671315">
        <w:rPr>
          <w:rFonts w:ascii="Georgia" w:eastAsia="Calibri" w:hAnsi="Georgia" w:cs="Georgia"/>
          <w:sz w:val="24"/>
          <w:szCs w:val="24"/>
        </w:rPr>
        <w:t>Znajduje do odzwierciedlenie również w Art.25 wyżej wymienionej Ustawy, który stanowi:”</w:t>
      </w:r>
    </w:p>
    <w:p w:rsidR="00FC3287" w:rsidRPr="00671315" w:rsidRDefault="00FC3287" w:rsidP="00FC3287">
      <w:pPr>
        <w:jc w:val="center"/>
        <w:rPr>
          <w:rFonts w:ascii="Georgia" w:eastAsia="Calibri" w:hAnsi="Georgia" w:cs="Georgia"/>
          <w:sz w:val="24"/>
          <w:szCs w:val="24"/>
        </w:rPr>
      </w:pPr>
      <w:r w:rsidRPr="00671315">
        <w:rPr>
          <w:rFonts w:ascii="Georgia" w:eastAsia="Calibri" w:hAnsi="Georgia" w:cs="Georgia"/>
          <w:sz w:val="24"/>
          <w:szCs w:val="24"/>
        </w:rPr>
        <w:t>1. Przeprowadzenie eksperymentu medycznego wymaga pisemnej zgody osoby badanej mającej w nim uczestniczyć.(...) Zgoda tak złożona powinna być odnotowana w dokumentacji lekarskiej.</w:t>
      </w:r>
    </w:p>
    <w:p w:rsidR="00FC3287" w:rsidRPr="00671315" w:rsidRDefault="00FC3287" w:rsidP="00FC3287">
      <w:pPr>
        <w:jc w:val="center"/>
        <w:rPr>
          <w:rFonts w:ascii="Georgia" w:eastAsia="Calibri" w:hAnsi="Georgia" w:cs="Georgia"/>
          <w:sz w:val="24"/>
          <w:szCs w:val="24"/>
        </w:rPr>
      </w:pPr>
      <w:r w:rsidRPr="00671315">
        <w:rPr>
          <w:rFonts w:ascii="Georgia" w:eastAsia="Calibri" w:hAnsi="Georgia" w:cs="Georgia"/>
          <w:sz w:val="24"/>
          <w:szCs w:val="24"/>
        </w:rPr>
        <w:t>Za wyrażenie świadomej zgody uznaje się wyrażone na piśmie, opatrzone datą i podpisane własnoręcznym podpisem oświadczenie woli o wzięciu udziału w badaniu klinicznym, złożone dobrowolnie przez osobę zdolną do złożenia takiego oświadczenia, a w przypadku osoby niezdolnej do złożenia takiego oświadczenia-przez jej przedstawiciela ustawowego.</w:t>
      </w:r>
    </w:p>
    <w:p w:rsidR="00FC3287" w:rsidRPr="00671315" w:rsidRDefault="00FC3287" w:rsidP="00FC3287">
      <w:pPr>
        <w:jc w:val="center"/>
        <w:rPr>
          <w:rFonts w:ascii="Georgia" w:eastAsia="Calibri" w:hAnsi="Georgia" w:cs="Georgia"/>
          <w:sz w:val="24"/>
          <w:szCs w:val="24"/>
        </w:rPr>
      </w:pPr>
      <w:r w:rsidRPr="00671315">
        <w:rPr>
          <w:rFonts w:ascii="Georgia" w:eastAsia="Calibri" w:hAnsi="Georgia" w:cs="Georgia"/>
          <w:sz w:val="24"/>
          <w:szCs w:val="24"/>
        </w:rPr>
        <w:t>Co więcej Art.27 wspomnianej Ustawy mówi:</w:t>
      </w:r>
    </w:p>
    <w:p w:rsidR="00FC3287" w:rsidRPr="00671315" w:rsidRDefault="00FC3287" w:rsidP="00FC3287">
      <w:pPr>
        <w:jc w:val="center"/>
        <w:rPr>
          <w:rFonts w:ascii="Georgia" w:eastAsia="Calibri" w:hAnsi="Georgia" w:cs="Georgia"/>
          <w:sz w:val="24"/>
          <w:szCs w:val="24"/>
        </w:rPr>
      </w:pPr>
      <w:r w:rsidRPr="00671315">
        <w:rPr>
          <w:rFonts w:ascii="Georgia" w:eastAsia="Calibri" w:hAnsi="Georgia" w:cs="Georgia"/>
          <w:sz w:val="24"/>
          <w:szCs w:val="24"/>
        </w:rPr>
        <w:t>„Osoba lub inny podmiot uprawniony do udzielenia zgody na eksperyment medyczny może ją cofnąć w każdym stadium eksperymentu.”</w:t>
      </w:r>
    </w:p>
    <w:p w:rsidR="00FC3287" w:rsidRPr="00671315" w:rsidRDefault="00FC3287" w:rsidP="00FC3287">
      <w:pPr>
        <w:jc w:val="center"/>
        <w:rPr>
          <w:rFonts w:ascii="Georgia" w:eastAsia="Calibri" w:hAnsi="Georgia" w:cs="Times New Roman"/>
          <w:sz w:val="24"/>
          <w:szCs w:val="24"/>
        </w:rPr>
      </w:pPr>
      <w:r w:rsidRPr="00671315">
        <w:rPr>
          <w:rFonts w:ascii="Georgia" w:eastAsia="Calibri" w:hAnsi="Georgia" w:cs="Times New Roman"/>
          <w:sz w:val="24"/>
          <w:szCs w:val="24"/>
        </w:rPr>
        <w:t>Ponadto wyżej wymienione metody badania w kierunku zakażeń układu oddechowego wirusami SARS,MERS oraz SARS CoV-2,zgodnie ze swoją charakterystyką są przeznaczone do badań ,a diagnozowanie zakażenia/choroby na ich podstawie jest niezgodnie z ich przeznaczeniem.</w:t>
      </w:r>
    </w:p>
    <w:p w:rsidR="00FC3287" w:rsidRPr="00671315" w:rsidRDefault="00FC3287" w:rsidP="00FC3287">
      <w:pPr>
        <w:jc w:val="center"/>
        <w:rPr>
          <w:rFonts w:ascii="Georgia" w:eastAsia="Calibri" w:hAnsi="Georgia" w:cs="Times New Roman"/>
          <w:sz w:val="24"/>
          <w:szCs w:val="24"/>
        </w:rPr>
      </w:pPr>
      <w:r w:rsidRPr="00671315">
        <w:rPr>
          <w:rFonts w:ascii="Georgia" w:eastAsia="Calibri" w:hAnsi="Georgia" w:cs="Times New Roman"/>
          <w:sz w:val="24"/>
          <w:szCs w:val="24"/>
        </w:rPr>
        <w:t xml:space="preserve">W dokumencie agencji rządu federalnego Stanów Zjednoczonych CDC wchodzącej w skład Departamentu Zdrowia i Opieki Społecznej „CDC 2019-Novel </w:t>
      </w:r>
      <w:proofErr w:type="spellStart"/>
      <w:r w:rsidRPr="00671315">
        <w:rPr>
          <w:rFonts w:ascii="Georgia" w:eastAsia="Calibri" w:hAnsi="Georgia" w:cs="Times New Roman"/>
          <w:sz w:val="24"/>
          <w:szCs w:val="24"/>
        </w:rPr>
        <w:t>Coronavirus</w:t>
      </w:r>
      <w:proofErr w:type="spellEnd"/>
      <w:r w:rsidRPr="00671315">
        <w:rPr>
          <w:rFonts w:ascii="Georgia" w:eastAsia="Calibri" w:hAnsi="Georgia" w:cs="Times New Roman"/>
          <w:sz w:val="24"/>
          <w:szCs w:val="24"/>
        </w:rPr>
        <w:t xml:space="preserve"> Real-Time RT-PCR </w:t>
      </w:r>
      <w:proofErr w:type="spellStart"/>
      <w:r w:rsidRPr="00671315">
        <w:rPr>
          <w:rFonts w:ascii="Georgia" w:eastAsia="Calibri" w:hAnsi="Georgia" w:cs="Times New Roman"/>
          <w:sz w:val="24"/>
          <w:szCs w:val="24"/>
        </w:rPr>
        <w:t>Diagnostic</w:t>
      </w:r>
      <w:proofErr w:type="spellEnd"/>
      <w:r w:rsidRPr="00671315">
        <w:rPr>
          <w:rFonts w:ascii="Georgia" w:eastAsia="Calibri" w:hAnsi="Georgia" w:cs="Times New Roman"/>
          <w:sz w:val="24"/>
          <w:szCs w:val="24"/>
        </w:rPr>
        <w:t xml:space="preserve"> </w:t>
      </w:r>
      <w:proofErr w:type="spellStart"/>
      <w:r w:rsidRPr="00671315">
        <w:rPr>
          <w:rFonts w:ascii="Georgia" w:eastAsia="Calibri" w:hAnsi="Georgia" w:cs="Times New Roman"/>
          <w:sz w:val="24"/>
          <w:szCs w:val="24"/>
        </w:rPr>
        <w:t>Pane</w:t>
      </w:r>
      <w:proofErr w:type="spellEnd"/>
      <w:r w:rsidRPr="00671315">
        <w:rPr>
          <w:rFonts w:ascii="Georgia" w:eastAsia="Calibri" w:hAnsi="Georgia" w:cs="Times New Roman"/>
          <w:sz w:val="24"/>
          <w:szCs w:val="24"/>
        </w:rPr>
        <w:t>” z dnia 13 lipca 2020 r., który jest podręcznikiem instruktażowym, dotyczącym testów PCR czytamy:</w:t>
      </w:r>
    </w:p>
    <w:p w:rsidR="00FC3287" w:rsidRPr="00671315" w:rsidRDefault="00FC3287" w:rsidP="00FC3287">
      <w:pPr>
        <w:jc w:val="center"/>
        <w:rPr>
          <w:rFonts w:ascii="Georgia" w:eastAsia="Calibri" w:hAnsi="Georgia" w:cs="Times New Roman"/>
          <w:sz w:val="24"/>
          <w:szCs w:val="24"/>
        </w:rPr>
      </w:pPr>
      <w:r w:rsidRPr="00671315">
        <w:rPr>
          <w:rFonts w:ascii="Georgia" w:eastAsia="Calibri" w:hAnsi="Georgia" w:cs="Times New Roman"/>
          <w:sz w:val="24"/>
          <w:szCs w:val="24"/>
        </w:rPr>
        <w:t>- Wykrycie wirusowego RNA może nie wskazywać na obecność wirusa zakaźnego lub że 2019-nCoV jest czynnikiem powodującym objawy kliniczne”.(...)</w:t>
      </w:r>
    </w:p>
    <w:p w:rsidR="00FC3287" w:rsidRPr="00671315" w:rsidRDefault="00FC3287" w:rsidP="00FC3287">
      <w:pPr>
        <w:jc w:val="center"/>
        <w:rPr>
          <w:rFonts w:ascii="Georgia" w:eastAsia="Calibri" w:hAnsi="Georgia" w:cs="Times New Roman"/>
          <w:sz w:val="24"/>
          <w:szCs w:val="24"/>
        </w:rPr>
      </w:pPr>
      <w:r w:rsidRPr="00671315">
        <w:rPr>
          <w:rFonts w:ascii="Georgia" w:eastAsia="Calibri" w:hAnsi="Georgia" w:cs="Times New Roman"/>
          <w:sz w:val="24"/>
          <w:szCs w:val="24"/>
        </w:rPr>
        <w:t>-Ten test nie może wykluczać chorób wywołanych prze inne bakteryjne lub wirusowe patogeny.”</w:t>
      </w:r>
    </w:p>
    <w:p w:rsidR="00FC3287" w:rsidRPr="00671315" w:rsidRDefault="00FC3287" w:rsidP="00FC3287">
      <w:pPr>
        <w:jc w:val="center"/>
        <w:rPr>
          <w:rFonts w:ascii="Georgia" w:eastAsia="Calibri" w:hAnsi="Georgia" w:cs="Times New Roman"/>
          <w:sz w:val="24"/>
          <w:szCs w:val="24"/>
        </w:rPr>
      </w:pPr>
      <w:r w:rsidRPr="00671315">
        <w:rPr>
          <w:rFonts w:ascii="Georgia" w:eastAsia="Calibri" w:hAnsi="Georgia" w:cs="Times New Roman"/>
          <w:sz w:val="24"/>
          <w:szCs w:val="24"/>
        </w:rPr>
        <w:t xml:space="preserve">-Pozytywne wyniki[...] nie wykluczają infekcji bakteryjnej lub </w:t>
      </w:r>
      <w:proofErr w:type="spellStart"/>
      <w:r w:rsidRPr="00671315">
        <w:rPr>
          <w:rFonts w:ascii="Georgia" w:eastAsia="Calibri" w:hAnsi="Georgia" w:cs="Times New Roman"/>
          <w:sz w:val="24"/>
          <w:szCs w:val="24"/>
        </w:rPr>
        <w:t>współzakażenia</w:t>
      </w:r>
      <w:proofErr w:type="spellEnd"/>
      <w:r w:rsidRPr="00671315">
        <w:rPr>
          <w:rFonts w:ascii="Georgia" w:eastAsia="Calibri" w:hAnsi="Georgia" w:cs="Times New Roman"/>
          <w:sz w:val="24"/>
          <w:szCs w:val="24"/>
        </w:rPr>
        <w:t xml:space="preserve"> innymi wirusami. Wykryty czynnik może nie być definitywną przyczyną choroby.”</w:t>
      </w:r>
    </w:p>
    <w:p w:rsidR="00FC3287" w:rsidRPr="00671315" w:rsidRDefault="00FC3287" w:rsidP="00FC3287">
      <w:pPr>
        <w:jc w:val="center"/>
        <w:rPr>
          <w:rFonts w:ascii="Georgia" w:eastAsia="Calibri" w:hAnsi="Georgia" w:cs="Times New Roman"/>
          <w:sz w:val="24"/>
          <w:szCs w:val="24"/>
        </w:rPr>
      </w:pPr>
      <w:r w:rsidRPr="00671315">
        <w:rPr>
          <w:rFonts w:ascii="Georgia" w:eastAsia="Calibri" w:hAnsi="Georgia" w:cs="Times New Roman"/>
          <w:sz w:val="24"/>
          <w:szCs w:val="24"/>
        </w:rPr>
        <w:t>Tym samym należy stwierdzić brak faktycznych podstaw naukowych, aby traktować wyniki takich testów,</w:t>
      </w:r>
      <w:r>
        <w:rPr>
          <w:rFonts w:ascii="Georgia" w:eastAsia="Calibri" w:hAnsi="Georgia" w:cs="Times New Roman"/>
          <w:sz w:val="24"/>
          <w:szCs w:val="24"/>
        </w:rPr>
        <w:t xml:space="preserve"> </w:t>
      </w:r>
      <w:r w:rsidRPr="00671315">
        <w:rPr>
          <w:rFonts w:ascii="Georgia" w:eastAsia="Calibri" w:hAnsi="Georgia" w:cs="Times New Roman"/>
          <w:sz w:val="24"/>
          <w:szCs w:val="24"/>
        </w:rPr>
        <w:t>jako miarodajne.</w:t>
      </w:r>
    </w:p>
    <w:p w:rsidR="00FC3287" w:rsidRPr="00671315" w:rsidRDefault="00FC3287" w:rsidP="00FC3287">
      <w:pPr>
        <w:jc w:val="center"/>
        <w:rPr>
          <w:rFonts w:ascii="Georgia" w:eastAsia="Calibri" w:hAnsi="Georgia" w:cs="Times New Roman"/>
          <w:sz w:val="24"/>
          <w:szCs w:val="24"/>
        </w:rPr>
      </w:pPr>
    </w:p>
    <w:p w:rsidR="00FC3287" w:rsidRPr="00671315" w:rsidRDefault="00FC3287" w:rsidP="00FC3287">
      <w:pPr>
        <w:jc w:val="center"/>
        <w:rPr>
          <w:rFonts w:ascii="Georgia" w:eastAsia="Calibri" w:hAnsi="Georgia" w:cs="Times New Roman"/>
          <w:bCs/>
          <w:sz w:val="24"/>
          <w:szCs w:val="24"/>
        </w:rPr>
      </w:pPr>
      <w:r w:rsidRPr="00671315">
        <w:rPr>
          <w:rFonts w:ascii="Georgia" w:eastAsia="Calibri" w:hAnsi="Georgia" w:cs="Times New Roman"/>
          <w:bCs/>
          <w:sz w:val="24"/>
          <w:szCs w:val="24"/>
        </w:rPr>
        <w:t>Art. 68. Prawo do ochrony zdrowia</w:t>
      </w:r>
    </w:p>
    <w:p w:rsidR="00FC3287" w:rsidRPr="00671315" w:rsidRDefault="00FC3287" w:rsidP="00FC3287">
      <w:pPr>
        <w:jc w:val="center"/>
        <w:rPr>
          <w:rFonts w:ascii="Georgia" w:eastAsia="Calibri" w:hAnsi="Georgia" w:cs="Times New Roman"/>
          <w:bCs/>
          <w:sz w:val="24"/>
          <w:szCs w:val="24"/>
        </w:rPr>
      </w:pPr>
      <w:r w:rsidRPr="00671315">
        <w:rPr>
          <w:rFonts w:ascii="Georgia" w:eastAsia="Calibri" w:hAnsi="Georgia" w:cs="Times New Roman"/>
          <w:bCs/>
          <w:sz w:val="24"/>
          <w:szCs w:val="24"/>
        </w:rPr>
        <w:t>Dz.U.1997.78.483 - Konstytucja Rzeczypospolitej Polskiej z dnia 2 kwietnia 1997 r.</w:t>
      </w:r>
    </w:p>
    <w:p w:rsidR="00FC3287" w:rsidRPr="00671315" w:rsidRDefault="00FC3287" w:rsidP="00FC3287">
      <w:pPr>
        <w:jc w:val="center"/>
        <w:rPr>
          <w:rFonts w:ascii="Georgia" w:eastAsia="Calibri" w:hAnsi="Georgia" w:cs="Times New Roman"/>
          <w:b/>
          <w:bCs/>
          <w:sz w:val="24"/>
          <w:szCs w:val="24"/>
        </w:rPr>
      </w:pPr>
    </w:p>
    <w:p w:rsidR="00FC3287" w:rsidRPr="00671315" w:rsidRDefault="00FC3287" w:rsidP="00FC3287">
      <w:pPr>
        <w:jc w:val="center"/>
        <w:rPr>
          <w:rFonts w:ascii="Georgia" w:eastAsia="Calibri" w:hAnsi="Georgia" w:cs="Times New Roman"/>
          <w:sz w:val="24"/>
          <w:szCs w:val="24"/>
        </w:rPr>
      </w:pPr>
      <w:r w:rsidRPr="00671315">
        <w:rPr>
          <w:rFonts w:ascii="Georgia" w:eastAsia="Calibri" w:hAnsi="Georgia" w:cs="Times New Roman"/>
          <w:sz w:val="24"/>
          <w:szCs w:val="24"/>
        </w:rPr>
        <w:t>1. Każdy ma prawo do ochrony zdrowia.</w:t>
      </w:r>
    </w:p>
    <w:p w:rsidR="00FC3287" w:rsidRPr="00671315" w:rsidRDefault="00FC3287" w:rsidP="00FC3287">
      <w:pPr>
        <w:jc w:val="center"/>
        <w:rPr>
          <w:rFonts w:ascii="Georgia" w:eastAsia="Calibri" w:hAnsi="Georgia" w:cs="Times New Roman"/>
          <w:sz w:val="24"/>
          <w:szCs w:val="24"/>
        </w:rPr>
      </w:pPr>
      <w:r w:rsidRPr="00671315">
        <w:rPr>
          <w:rFonts w:ascii="Georgia" w:eastAsia="Calibri" w:hAnsi="Georgia" w:cs="Times New Roman"/>
          <w:sz w:val="24"/>
          <w:szCs w:val="24"/>
        </w:rPr>
        <w:t>2. Obywatelom, niezależnie od ich sytuacji materialnej, władze publiczne zapewniają równy dostęp do świadczeń opieki zdrowotnej finansowanej ze środków publicznych. Warunki i zakres udzielania świadczeń określa ustawa.</w:t>
      </w:r>
    </w:p>
    <w:p w:rsidR="00FC3287" w:rsidRPr="00671315" w:rsidRDefault="00FC3287" w:rsidP="00FC3287">
      <w:pPr>
        <w:jc w:val="both"/>
        <w:rPr>
          <w:rFonts w:ascii="Georgia" w:eastAsia="Calibri" w:hAnsi="Georgia" w:cs="Times New Roman"/>
          <w:sz w:val="24"/>
          <w:szCs w:val="24"/>
        </w:rPr>
      </w:pPr>
    </w:p>
    <w:p w:rsidR="00FC3287" w:rsidRPr="00671315" w:rsidRDefault="00FC3287" w:rsidP="00FC3287">
      <w:pPr>
        <w:spacing w:after="0" w:line="360" w:lineRule="atLeast"/>
        <w:ind w:left="720"/>
        <w:contextualSpacing/>
        <w:jc w:val="center"/>
        <w:rPr>
          <w:rFonts w:ascii="Georgia" w:eastAsia="Times New Roman" w:hAnsi="Georgia" w:cs="Times"/>
          <w:color w:val="000000"/>
          <w:sz w:val="24"/>
          <w:szCs w:val="24"/>
          <w:lang w:eastAsia="pl-PL"/>
        </w:rPr>
      </w:pPr>
      <w:r w:rsidRPr="00671315">
        <w:rPr>
          <w:rFonts w:ascii="Georgia" w:eastAsia="Times New Roman" w:hAnsi="Georgia" w:cs="Times"/>
          <w:color w:val="000000"/>
          <w:sz w:val="24"/>
          <w:szCs w:val="24"/>
          <w:lang w:eastAsia="pl-PL"/>
        </w:rPr>
        <w:t>Zgodnie z art.7 i 17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danych),zabraniam udostępniania naszych danych instytucjom państwowym ,a przede wszystkim Państwowej Inspekcji Sanitarnej oraz Państwowej Stacji Sanitarno-Epidemiologicznej w</w:t>
      </w:r>
      <w:r>
        <w:rPr>
          <w:rFonts w:ascii="Georgia" w:eastAsia="Times New Roman" w:hAnsi="Georgia" w:cs="Times"/>
          <w:color w:val="000000"/>
          <w:sz w:val="24"/>
          <w:szCs w:val="24"/>
          <w:lang w:eastAsia="pl-PL"/>
        </w:rPr>
        <w:t xml:space="preserve"> ………………………………………...</w:t>
      </w:r>
    </w:p>
    <w:p w:rsidR="00FC3287" w:rsidRPr="00671315" w:rsidRDefault="00FC3287" w:rsidP="00FC3287">
      <w:pPr>
        <w:spacing w:after="0" w:line="360" w:lineRule="atLeast"/>
        <w:ind w:left="720"/>
        <w:contextualSpacing/>
        <w:jc w:val="center"/>
        <w:rPr>
          <w:rFonts w:ascii="Georgia" w:eastAsia="Times New Roman" w:hAnsi="Georgia" w:cs="Times"/>
          <w:color w:val="000000"/>
          <w:sz w:val="24"/>
          <w:szCs w:val="24"/>
          <w:lang w:eastAsia="pl-PL"/>
        </w:rPr>
      </w:pPr>
    </w:p>
    <w:p w:rsidR="00FC3287" w:rsidRDefault="00FC3287" w:rsidP="00FC3287">
      <w:pPr>
        <w:spacing w:after="0" w:line="360" w:lineRule="atLeast"/>
        <w:ind w:left="720"/>
        <w:contextualSpacing/>
        <w:jc w:val="center"/>
        <w:rPr>
          <w:rFonts w:ascii="Georgia" w:eastAsia="Times New Roman" w:hAnsi="Georgia" w:cs="Times"/>
          <w:color w:val="000000"/>
          <w:sz w:val="24"/>
          <w:szCs w:val="24"/>
          <w:lang w:eastAsia="pl-PL"/>
        </w:rPr>
      </w:pPr>
      <w:r w:rsidRPr="00671315">
        <w:rPr>
          <w:rFonts w:ascii="Georgia" w:eastAsia="Times New Roman" w:hAnsi="Georgia" w:cs="Times"/>
          <w:color w:val="000000"/>
          <w:sz w:val="24"/>
          <w:szCs w:val="24"/>
          <w:lang w:eastAsia="pl-PL"/>
        </w:rPr>
        <w:t>W kwestii przekazywania danych osobowych do Państwowej Inspekcji Sanitarnej, informuję, iż zgodnie z art.32a Ustawy z dnia 5 grudnia 2008 r. o zapobieganiu oraz zwalczaniu zakażeń i chorób zakaźnych u ludzi państwowy inspektor sanitarny lub Główny Inspektor Sanitarny może żądać udzielenia informacji i przekazania danych osobowych wyłącznie w związku z prowadzonym dochodzeniem epidemiologicznym.</w:t>
      </w:r>
    </w:p>
    <w:p w:rsidR="00FC3287" w:rsidRDefault="00FC3287" w:rsidP="00FC3287">
      <w:pPr>
        <w:spacing w:after="0" w:line="360" w:lineRule="atLeast"/>
        <w:ind w:left="720"/>
        <w:contextualSpacing/>
        <w:jc w:val="center"/>
        <w:rPr>
          <w:rFonts w:ascii="Georgia" w:eastAsia="Times New Roman" w:hAnsi="Georgia" w:cs="Times"/>
          <w:color w:val="000000"/>
          <w:sz w:val="24"/>
          <w:szCs w:val="24"/>
          <w:lang w:eastAsia="pl-PL"/>
        </w:rPr>
      </w:pPr>
    </w:p>
    <w:p w:rsidR="00FC3287" w:rsidRDefault="00FC3287" w:rsidP="00FC3287">
      <w:pPr>
        <w:spacing w:after="0" w:line="360" w:lineRule="atLeast"/>
        <w:ind w:left="720"/>
        <w:contextualSpacing/>
        <w:jc w:val="center"/>
        <w:rPr>
          <w:rFonts w:ascii="Georgia" w:eastAsia="Times New Roman" w:hAnsi="Georgia" w:cs="Times"/>
          <w:color w:val="000000"/>
          <w:sz w:val="24"/>
          <w:szCs w:val="24"/>
          <w:lang w:eastAsia="pl-PL"/>
        </w:rPr>
      </w:pPr>
      <w:r w:rsidRPr="00DE00AC">
        <w:rPr>
          <w:rFonts w:ascii="Georgia" w:eastAsia="Times New Roman" w:hAnsi="Georgia" w:cs="Times"/>
          <w:color w:val="000000"/>
          <w:sz w:val="24"/>
          <w:szCs w:val="24"/>
          <w:lang w:eastAsia="pl-PL"/>
        </w:rPr>
        <w:t>Międzynarodowy Pakt Praw Obywatelskich i Politycznych w art. 7 zabrania, by ktokolwiek był poddawany, bez swej zgody swobodnie wyrażonej, doświadczeniom lekarskim lub naukowym.</w:t>
      </w:r>
    </w:p>
    <w:p w:rsidR="00FC3287" w:rsidRPr="00DE00AC" w:rsidRDefault="00FC3287" w:rsidP="00FC3287">
      <w:pPr>
        <w:spacing w:after="0" w:line="360" w:lineRule="atLeast"/>
        <w:ind w:left="720"/>
        <w:contextualSpacing/>
        <w:jc w:val="center"/>
        <w:rPr>
          <w:rFonts w:ascii="Georgia" w:eastAsia="Times New Roman" w:hAnsi="Georgia" w:cs="Times"/>
          <w:color w:val="000000"/>
          <w:sz w:val="24"/>
          <w:szCs w:val="24"/>
          <w:lang w:eastAsia="pl-PL"/>
        </w:rPr>
      </w:pPr>
    </w:p>
    <w:p w:rsidR="00FC3287" w:rsidRPr="00DE00AC" w:rsidRDefault="00FC3287" w:rsidP="00FC3287">
      <w:pPr>
        <w:spacing w:after="0" w:line="360" w:lineRule="atLeast"/>
        <w:ind w:left="720"/>
        <w:contextualSpacing/>
        <w:jc w:val="center"/>
        <w:rPr>
          <w:rFonts w:ascii="Georgia" w:eastAsia="Times New Roman" w:hAnsi="Georgia" w:cs="Times"/>
          <w:color w:val="000000"/>
          <w:sz w:val="24"/>
          <w:szCs w:val="24"/>
          <w:lang w:eastAsia="pl-PL"/>
        </w:rPr>
      </w:pPr>
      <w:r w:rsidRPr="00DE00AC">
        <w:rPr>
          <w:rFonts w:ascii="Georgia" w:eastAsia="Times New Roman" w:hAnsi="Georgia" w:cs="Times"/>
          <w:color w:val="000000"/>
          <w:sz w:val="24"/>
          <w:szCs w:val="24"/>
          <w:lang w:eastAsia="pl-PL"/>
        </w:rPr>
        <w:t>Konwencja o prawach człowieka i biomedycynie w art. 5 zakazuje przeprowadzania interwencji medycznej bez swobodnej i świadomej zgody osoby jej poddanej. Przed dokonaniem interwencji osoba jej poddana otrzyma odpowiednie informacje o celu i naturze interwencji, jak również jej konsekwencjach i ryzyku. Osoba poddana interwencji może w każdej chwili swobodnie wycofać zgodę. Według art. 15 zgoda powinna być wyrażona w sposób wyraźny i dotyczyć konkretnego badania oraz powinna być udokumentowana.</w:t>
      </w:r>
    </w:p>
    <w:p w:rsidR="00FC3287" w:rsidRPr="00671315" w:rsidRDefault="00FC3287" w:rsidP="00FC3287">
      <w:pPr>
        <w:spacing w:after="0" w:line="360" w:lineRule="atLeast"/>
        <w:ind w:left="720"/>
        <w:contextualSpacing/>
        <w:jc w:val="center"/>
        <w:rPr>
          <w:rFonts w:ascii="Georgia" w:eastAsia="Times New Roman" w:hAnsi="Georgia" w:cs="Times"/>
          <w:color w:val="000000"/>
          <w:sz w:val="24"/>
          <w:szCs w:val="24"/>
          <w:lang w:eastAsia="pl-PL"/>
        </w:rPr>
      </w:pPr>
    </w:p>
    <w:p w:rsidR="00FC3287" w:rsidRPr="004218D9" w:rsidRDefault="00FC3287" w:rsidP="00FC3287">
      <w:pPr>
        <w:jc w:val="center"/>
        <w:rPr>
          <w:rFonts w:ascii="Georgia" w:eastAsia="Calibri" w:hAnsi="Georgia" w:cs="Times New Roman"/>
          <w:sz w:val="24"/>
          <w:szCs w:val="24"/>
        </w:rPr>
      </w:pPr>
      <w:r w:rsidRPr="004218D9">
        <w:rPr>
          <w:rFonts w:ascii="Georgia" w:eastAsia="Calibri" w:hAnsi="Georgia" w:cs="Times New Roman"/>
          <w:sz w:val="24"/>
          <w:szCs w:val="24"/>
        </w:rPr>
        <w:t>Art. 30. Ustawa o zawodach lekarza</w:t>
      </w:r>
    </w:p>
    <w:p w:rsidR="00FC3287" w:rsidRPr="004218D9" w:rsidRDefault="00FC3287" w:rsidP="00FC3287">
      <w:pPr>
        <w:jc w:val="center"/>
        <w:rPr>
          <w:rFonts w:ascii="Georgia" w:eastAsia="Calibri" w:hAnsi="Georgia" w:cs="Times New Roman"/>
          <w:sz w:val="24"/>
          <w:szCs w:val="24"/>
        </w:rPr>
      </w:pPr>
      <w:r w:rsidRPr="004218D9">
        <w:rPr>
          <w:rFonts w:ascii="Georgia" w:eastAsia="Calibri" w:hAnsi="Georgia" w:cs="Times New Roman"/>
          <w:sz w:val="24"/>
          <w:szCs w:val="24"/>
        </w:rPr>
        <w:lastRenderedPageBreak/>
        <w:t xml:space="preserve"> Lekarz ma obowiązek udzielać pomocy lekarskiej w każdym przypadku, gdy zwłoka w jej udzieleniu mogłaby spowodować niebezpieczeństwo utraty życia, ciężkiego uszkodzenia ciała lub ciężkiego rozstroju zdrowia. </w:t>
      </w:r>
    </w:p>
    <w:p w:rsidR="00FC3287" w:rsidRPr="004218D9" w:rsidRDefault="00FC3287" w:rsidP="00FC3287">
      <w:pPr>
        <w:jc w:val="center"/>
        <w:rPr>
          <w:rFonts w:ascii="Georgia" w:eastAsia="Calibri" w:hAnsi="Georgia" w:cs="Times New Roman"/>
          <w:sz w:val="24"/>
          <w:szCs w:val="24"/>
        </w:rPr>
      </w:pPr>
      <w:r w:rsidRPr="004218D9">
        <w:rPr>
          <w:rFonts w:ascii="Georgia" w:eastAsia="Calibri" w:hAnsi="Georgia" w:cs="Times New Roman"/>
          <w:sz w:val="24"/>
          <w:szCs w:val="24"/>
        </w:rPr>
        <w:t>Art 36 Paragraf 3 Ustawa o zawodach lekarza</w:t>
      </w:r>
    </w:p>
    <w:p w:rsidR="00FC3287" w:rsidRPr="004218D9" w:rsidRDefault="00FC3287" w:rsidP="00FC3287">
      <w:pPr>
        <w:jc w:val="center"/>
        <w:rPr>
          <w:rFonts w:ascii="Georgia" w:eastAsia="Calibri" w:hAnsi="Georgia" w:cs="Times New Roman"/>
          <w:sz w:val="24"/>
          <w:szCs w:val="24"/>
        </w:rPr>
      </w:pPr>
      <w:r w:rsidRPr="004218D9">
        <w:rPr>
          <w:rFonts w:ascii="Georgia" w:eastAsia="Calibri" w:hAnsi="Georgia" w:cs="Times New Roman"/>
          <w:sz w:val="24"/>
          <w:szCs w:val="24"/>
        </w:rPr>
        <w:t>Lekarz ma obowiązek dbać, aby inny personel medyczny przestrzegał w postępowaniu z pacjentem zasady określonej w ust. 1.</w:t>
      </w:r>
    </w:p>
    <w:p w:rsidR="00FC3287" w:rsidRPr="004218D9" w:rsidRDefault="00FC3287" w:rsidP="00FC3287">
      <w:pPr>
        <w:jc w:val="center"/>
        <w:rPr>
          <w:rFonts w:ascii="Georgia" w:eastAsia="Calibri" w:hAnsi="Georgia" w:cs="Times New Roman"/>
          <w:sz w:val="24"/>
          <w:szCs w:val="24"/>
        </w:rPr>
      </w:pPr>
      <w:r w:rsidRPr="004218D9">
        <w:rPr>
          <w:rFonts w:ascii="Georgia" w:eastAsia="Calibri" w:hAnsi="Georgia" w:cs="Times New Roman"/>
          <w:sz w:val="24"/>
          <w:szCs w:val="24"/>
        </w:rPr>
        <w:t xml:space="preserve">Art. 38. 1. Ustawa o zawodach lekarza </w:t>
      </w:r>
    </w:p>
    <w:p w:rsidR="00FC3287" w:rsidRPr="004218D9" w:rsidRDefault="00FC3287" w:rsidP="00FC3287">
      <w:pPr>
        <w:jc w:val="center"/>
        <w:rPr>
          <w:rFonts w:ascii="Georgia" w:eastAsia="Calibri" w:hAnsi="Georgia" w:cs="Times New Roman"/>
          <w:sz w:val="24"/>
          <w:szCs w:val="24"/>
        </w:rPr>
      </w:pPr>
      <w:r w:rsidRPr="004218D9">
        <w:rPr>
          <w:rFonts w:ascii="Georgia" w:eastAsia="Calibri" w:hAnsi="Georgia" w:cs="Times New Roman"/>
          <w:sz w:val="24"/>
          <w:szCs w:val="24"/>
        </w:rPr>
        <w:t xml:space="preserve">Lekarz może nie podjąć lub odstąpić od leczenia pacjenta, o ile nie zachodzi przypadek, o którym mowa w art. 30, z zastrzeżeniem ust. 3. </w:t>
      </w:r>
    </w:p>
    <w:p w:rsidR="00FC3287" w:rsidRPr="004218D9" w:rsidRDefault="00FC3287" w:rsidP="00FC3287">
      <w:pPr>
        <w:jc w:val="center"/>
        <w:rPr>
          <w:rFonts w:ascii="Georgia" w:eastAsia="Calibri" w:hAnsi="Georgia" w:cs="Times New Roman"/>
          <w:sz w:val="24"/>
          <w:szCs w:val="24"/>
        </w:rPr>
      </w:pPr>
      <w:r w:rsidRPr="004218D9">
        <w:rPr>
          <w:rFonts w:ascii="Georgia" w:eastAsia="Calibri" w:hAnsi="Georgia" w:cs="Times New Roman"/>
          <w:sz w:val="24"/>
          <w:szCs w:val="24"/>
        </w:rPr>
        <w:t>Art. 53. Ustawa o izbach lekarskich</w:t>
      </w:r>
    </w:p>
    <w:p w:rsidR="00FC3287" w:rsidRPr="004218D9" w:rsidRDefault="00FC3287" w:rsidP="00FC3287">
      <w:pPr>
        <w:jc w:val="center"/>
        <w:rPr>
          <w:rFonts w:ascii="Georgia" w:eastAsia="Calibri" w:hAnsi="Georgia" w:cs="Times New Roman"/>
          <w:sz w:val="24"/>
          <w:szCs w:val="24"/>
        </w:rPr>
      </w:pPr>
      <w:r w:rsidRPr="004218D9">
        <w:rPr>
          <w:rFonts w:ascii="Georgia" w:eastAsia="Calibri" w:hAnsi="Georgia" w:cs="Times New Roman"/>
          <w:sz w:val="24"/>
          <w:szCs w:val="24"/>
        </w:rPr>
        <w:t xml:space="preserve"> Członkowie izb lekarskich podlegają odpowiedzialności zawodowej za naruszenie zasad etyki lekarskiej oraz przepisów związanych z wykonywaniem zawodu lekarza, zwane dalej „przewinieniem zawodowym”</w:t>
      </w:r>
    </w:p>
    <w:p w:rsidR="00FC3287" w:rsidRPr="004218D9" w:rsidRDefault="00FC3287" w:rsidP="00FC3287">
      <w:pPr>
        <w:jc w:val="center"/>
        <w:rPr>
          <w:rFonts w:ascii="Georgia" w:eastAsia="Calibri" w:hAnsi="Georgia" w:cs="Times New Roman"/>
          <w:sz w:val="24"/>
          <w:szCs w:val="24"/>
        </w:rPr>
      </w:pPr>
      <w:r w:rsidRPr="004218D9">
        <w:rPr>
          <w:rFonts w:ascii="Georgia" w:eastAsia="Calibri" w:hAnsi="Georgia" w:cs="Times New Roman"/>
          <w:sz w:val="24"/>
          <w:szCs w:val="24"/>
        </w:rPr>
        <w:t xml:space="preserve"> Art. 2. 1. Kodeks etyki lekarskiej </w:t>
      </w:r>
    </w:p>
    <w:p w:rsidR="00FC3287" w:rsidRPr="004218D9" w:rsidRDefault="00FC3287" w:rsidP="00FC3287">
      <w:pPr>
        <w:jc w:val="center"/>
        <w:rPr>
          <w:rFonts w:ascii="Georgia" w:eastAsia="Calibri" w:hAnsi="Georgia" w:cs="Times New Roman"/>
          <w:sz w:val="24"/>
          <w:szCs w:val="24"/>
        </w:rPr>
      </w:pPr>
      <w:r w:rsidRPr="004218D9">
        <w:rPr>
          <w:rFonts w:ascii="Georgia" w:eastAsia="Calibri" w:hAnsi="Georgia" w:cs="Times New Roman"/>
          <w:sz w:val="24"/>
          <w:szCs w:val="24"/>
        </w:rPr>
        <w:t xml:space="preserve">Powołaniem lekarza jest ochrona życia i zdrowia ludzkiego, zapobieganie chorobom, leczenie chorych oraz niesienie ulgi w cierpieniu; lekarz nie może posługiwać się wiedzą i umiejętnością lekarską w działaniach sprzecznych z tym powołaniem. </w:t>
      </w:r>
    </w:p>
    <w:p w:rsidR="00FC3287" w:rsidRPr="004218D9" w:rsidRDefault="00FC3287" w:rsidP="00FC3287">
      <w:pPr>
        <w:jc w:val="center"/>
        <w:rPr>
          <w:rFonts w:ascii="Georgia" w:eastAsia="Calibri" w:hAnsi="Georgia" w:cs="Times New Roman"/>
          <w:sz w:val="24"/>
          <w:szCs w:val="24"/>
        </w:rPr>
      </w:pPr>
      <w:r w:rsidRPr="004218D9">
        <w:rPr>
          <w:rFonts w:ascii="Georgia" w:eastAsia="Calibri" w:hAnsi="Georgia" w:cs="Times New Roman"/>
          <w:sz w:val="24"/>
          <w:szCs w:val="24"/>
        </w:rPr>
        <w:t>Art. 69. Kodeks etyki lekarskiej</w:t>
      </w:r>
    </w:p>
    <w:p w:rsidR="00FC3287" w:rsidRPr="004218D9" w:rsidRDefault="00FC3287" w:rsidP="00FC3287">
      <w:pPr>
        <w:jc w:val="center"/>
        <w:rPr>
          <w:rFonts w:ascii="Georgia" w:eastAsia="Calibri" w:hAnsi="Georgia" w:cs="Times New Roman"/>
          <w:sz w:val="24"/>
          <w:szCs w:val="24"/>
        </w:rPr>
      </w:pPr>
      <w:r w:rsidRPr="004218D9">
        <w:rPr>
          <w:rFonts w:ascii="Georgia" w:eastAsia="Calibri" w:hAnsi="Georgia" w:cs="Times New Roman"/>
          <w:sz w:val="24"/>
          <w:szCs w:val="24"/>
        </w:rPr>
        <w:t xml:space="preserve"> Lekarz nie może odmówić pomocy lekarskiej w przypadkach nie cierpiących zwłoki, jeśli pacjent nie ma możliwości uzyskania jej ze strony instytucji powołanych do udzielania pomocy .</w:t>
      </w:r>
    </w:p>
    <w:p w:rsidR="00FC3287" w:rsidRPr="004218D9" w:rsidRDefault="00FC3287" w:rsidP="00FC3287">
      <w:pPr>
        <w:jc w:val="center"/>
        <w:rPr>
          <w:rFonts w:ascii="Georgia" w:eastAsia="Calibri" w:hAnsi="Georgia" w:cs="Times New Roman"/>
          <w:sz w:val="24"/>
          <w:szCs w:val="24"/>
        </w:rPr>
      </w:pPr>
      <w:r w:rsidRPr="004218D9">
        <w:rPr>
          <w:rFonts w:ascii="Georgia" w:eastAsia="Calibri" w:hAnsi="Georgia" w:cs="Times New Roman"/>
          <w:sz w:val="24"/>
          <w:szCs w:val="24"/>
        </w:rPr>
        <w:t xml:space="preserve">Art 162 k.k. § 1. </w:t>
      </w:r>
    </w:p>
    <w:p w:rsidR="00FC3287" w:rsidRPr="004218D9" w:rsidRDefault="00FC3287" w:rsidP="00FC3287">
      <w:pPr>
        <w:jc w:val="center"/>
        <w:rPr>
          <w:rFonts w:ascii="Georgia" w:eastAsia="Calibri" w:hAnsi="Georgia" w:cs="Times New Roman"/>
          <w:sz w:val="24"/>
          <w:szCs w:val="24"/>
        </w:rPr>
      </w:pPr>
      <w:r w:rsidRPr="004218D9">
        <w:rPr>
          <w:rFonts w:ascii="Georgia" w:eastAsia="Calibri" w:hAnsi="Georgia" w:cs="Times New Roman"/>
          <w:sz w:val="24"/>
          <w:szCs w:val="24"/>
        </w:rPr>
        <w:t>Kto człowiekowi znajdującemu się w położeniu grożącym bezpośrednim niebezpieczeństwem utraty życia albo ciężkiego uszczerbku na zdrowiu nie udziela pomocy, mogąc jej udzielić bez narażenia siebie lub innej osoby na niebezpieczeństwo utraty życia albo ciężkiego uszczerbku na zdrowiu, podlega karze pozbawienia wolności do lat 3.</w:t>
      </w:r>
    </w:p>
    <w:p w:rsidR="00FC3287" w:rsidRPr="00671315" w:rsidRDefault="00FC3287" w:rsidP="00FC3287">
      <w:pPr>
        <w:jc w:val="right"/>
        <w:rPr>
          <w:rFonts w:ascii="Georgia" w:eastAsia="Calibri" w:hAnsi="Georgia" w:cs="Times New Roman"/>
          <w:sz w:val="24"/>
          <w:szCs w:val="24"/>
        </w:rPr>
      </w:pPr>
    </w:p>
    <w:p w:rsidR="00FC3287" w:rsidRDefault="00FC3287" w:rsidP="00FC3287">
      <w:pPr>
        <w:jc w:val="right"/>
        <w:rPr>
          <w:rFonts w:ascii="Georgia" w:eastAsia="Calibri" w:hAnsi="Georgia" w:cs="Times New Roman"/>
          <w:sz w:val="24"/>
          <w:szCs w:val="24"/>
        </w:rPr>
      </w:pPr>
      <w:r w:rsidRPr="00671315">
        <w:rPr>
          <w:rFonts w:ascii="Georgia" w:eastAsia="Calibri" w:hAnsi="Georgia" w:cs="Times New Roman"/>
          <w:sz w:val="24"/>
          <w:szCs w:val="24"/>
        </w:rPr>
        <w:t>Z wyrazami szacunku</w:t>
      </w:r>
    </w:p>
    <w:p w:rsidR="00FC3287" w:rsidRDefault="00FC3287" w:rsidP="00FC3287">
      <w:pPr>
        <w:jc w:val="right"/>
        <w:rPr>
          <w:rFonts w:ascii="Georgia" w:eastAsia="Calibri" w:hAnsi="Georgia" w:cs="Times New Roman"/>
          <w:sz w:val="24"/>
          <w:szCs w:val="24"/>
        </w:rPr>
      </w:pPr>
    </w:p>
    <w:p w:rsidR="00FC3287" w:rsidRPr="00671315" w:rsidRDefault="00FC3287" w:rsidP="00FC3287">
      <w:pPr>
        <w:jc w:val="right"/>
        <w:rPr>
          <w:rFonts w:ascii="Georgia" w:eastAsia="Calibri" w:hAnsi="Georgia" w:cs="Times New Roman"/>
          <w:sz w:val="24"/>
          <w:szCs w:val="24"/>
        </w:rPr>
      </w:pPr>
      <w:r>
        <w:rPr>
          <w:rFonts w:ascii="Georgia" w:eastAsia="Calibri" w:hAnsi="Georgia" w:cs="Times New Roman"/>
          <w:sz w:val="24"/>
          <w:szCs w:val="24"/>
        </w:rPr>
        <w:t xml:space="preserve"> </w:t>
      </w:r>
      <w:r w:rsidRPr="00671315">
        <w:rPr>
          <w:rFonts w:ascii="Georgia" w:eastAsia="Calibri" w:hAnsi="Georgia" w:cs="Times New Roman"/>
          <w:sz w:val="24"/>
          <w:szCs w:val="24"/>
        </w:rPr>
        <w:t>………………………………</w:t>
      </w:r>
    </w:p>
    <w:p w:rsidR="00FC3287" w:rsidRPr="00671315" w:rsidRDefault="00FC3287" w:rsidP="00FC3287">
      <w:pPr>
        <w:jc w:val="right"/>
        <w:rPr>
          <w:rFonts w:ascii="Georgia" w:eastAsia="Calibri" w:hAnsi="Georgia" w:cs="Times New Roman"/>
          <w:sz w:val="24"/>
          <w:szCs w:val="24"/>
        </w:rPr>
      </w:pPr>
      <w:r w:rsidRPr="00671315">
        <w:rPr>
          <w:rFonts w:ascii="Georgia" w:eastAsia="Calibri" w:hAnsi="Georgia" w:cs="Times New Roman"/>
          <w:sz w:val="24"/>
          <w:szCs w:val="24"/>
        </w:rPr>
        <w:t xml:space="preserve">  </w:t>
      </w:r>
      <w:r>
        <w:rPr>
          <w:rFonts w:ascii="Georgia" w:eastAsia="Calibri" w:hAnsi="Georgia" w:cs="Times New Roman"/>
          <w:sz w:val="24"/>
          <w:szCs w:val="24"/>
        </w:rPr>
        <w:t xml:space="preserve"> </w:t>
      </w:r>
      <w:r w:rsidRPr="00671315">
        <w:rPr>
          <w:rFonts w:ascii="Georgia" w:eastAsia="Calibri" w:hAnsi="Georgia" w:cs="Times New Roman"/>
          <w:sz w:val="24"/>
          <w:szCs w:val="24"/>
        </w:rPr>
        <w:t xml:space="preserve"> (własnoręczny podpis)</w:t>
      </w:r>
    </w:p>
    <w:p w:rsidR="00FC3287" w:rsidRDefault="00FC3287" w:rsidP="00FC3287"/>
    <w:p w:rsidR="00FC3287" w:rsidRDefault="00FC3287"/>
    <w:sectPr w:rsidR="00FC328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Georgia">
    <w:panose1 w:val="02040502050405020303"/>
    <w:charset w:val="EE"/>
    <w:family w:val="roman"/>
    <w:pitch w:val="variable"/>
    <w:sig w:usb0="00000287" w:usb1="00000000" w:usb2="00000000" w:usb3="00000000" w:csb0="0000009F" w:csb1="00000000"/>
  </w:font>
  <w:font w:name="Times">
    <w:altName w:val="Times New Roman"/>
    <w:panose1 w:val="02020603050405020304"/>
    <w:charset w:val="EE"/>
    <w:family w:val="roman"/>
    <w:pitch w:val="default"/>
    <w:sig w:usb0="00000000" w:usb1="00000000"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3287"/>
    <w:rsid w:val="00AF059B"/>
    <w:rsid w:val="00CB57EC"/>
    <w:rsid w:val="00FC328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99F9D7"/>
  <w15:chartTrackingRefBased/>
  <w15:docId w15:val="{A953C9BD-F728-4796-9D5F-3829C863F1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FC3287"/>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4</Pages>
  <Words>1017</Words>
  <Characters>6106</Characters>
  <Application>Microsoft Office Word</Application>
  <DocSecurity>0</DocSecurity>
  <Lines>50</Lines>
  <Paragraphs>14</Paragraphs>
  <ScaleCrop>false</ScaleCrop>
  <Company/>
  <LinksUpToDate>false</LinksUpToDate>
  <CharactersWithSpaces>7109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Piotrek</dc:creator>
  <cp:keywords/>
  <dc:description/>
  <cp:lastModifiedBy>Piotrek</cp:lastModifiedBy>
  <cp:revision>3</cp:revision>
  <dcterms:created xsi:type="dcterms:W3CDTF">2020-10-30T18:51:00Z</dcterms:created>
  <dcterms:modified xsi:type="dcterms:W3CDTF">2020-10-31T09:01:00Z</dcterms:modified>
</cp:coreProperties>
</file>